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“Experiencias interactivas con el conocimiento”: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Juego, cómics, demostración completo/a 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color w:val="ff0000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Instrucciones: Máximo cinco hojas, formato word tamaño carta.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4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68"/>
        <w:gridCol w:w="6281"/>
        <w:tblGridChange w:id="0">
          <w:tblGrid>
            <w:gridCol w:w="2768"/>
            <w:gridCol w:w="6281"/>
          </w:tblGrid>
        </w:tblGridChange>
      </w:tblGrid>
      <w:tr>
        <w:trPr>
          <w:trHeight w:val="330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line="240" w:lineRule="auto"/>
        <w:rPr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0.0" w:type="dxa"/>
        <w:jc w:val="left"/>
        <w:tblInd w:w="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60"/>
        <w:tblGridChange w:id="0">
          <w:tblGrid>
            <w:gridCol w:w="9060"/>
          </w:tblGrid>
        </w:tblGridChange>
      </w:tblGrid>
      <w:tr>
        <w:trPr>
          <w:trHeight w:val="33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color w:val="222222"/>
                <w:highlight w:val="white"/>
                <w:rtl w:val="0"/>
              </w:rPr>
              <w:t xml:space="preserve">Juego, cómics, demostración completo/a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90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